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78" w:lineRule="exact"/>
        <w:jc w:val="center"/>
        <w:textAlignment w:val="auto"/>
        <w:rPr>
          <w:rFonts w:ascii="仿宋_GB2312" w:hAnsi="华文中宋"/>
          <w:b w:val="0"/>
          <w:bCs/>
          <w:sz w:val="36"/>
          <w:szCs w:val="44"/>
        </w:rPr>
      </w:pPr>
    </w:p>
    <w:p>
      <w:pPr>
        <w:keepNext w:val="0"/>
        <w:keepLines w:val="0"/>
        <w:pageBreakBefore w:val="0"/>
        <w:widowControl w:val="0"/>
        <w:kinsoku/>
        <w:wordWrap/>
        <w:overflowPunct/>
        <w:topLinePunct w:val="0"/>
        <w:autoSpaceDE/>
        <w:autoSpaceDN/>
        <w:bidi w:val="0"/>
        <w:adjustRightInd/>
        <w:snapToGrid w:val="0"/>
        <w:spacing w:line="578" w:lineRule="exact"/>
        <w:jc w:val="center"/>
        <w:textAlignment w:val="auto"/>
        <w:rPr>
          <w:rFonts w:hint="eastAsia" w:ascii="宋体" w:hAnsi="宋体" w:eastAsia="宋体" w:cs="宋体"/>
          <w:b/>
          <w:bCs w:val="0"/>
          <w:color w:val="000000" w:themeColor="text1"/>
          <w:sz w:val="44"/>
          <w:szCs w:val="44"/>
          <w:lang w:eastAsia="zh-CN"/>
          <w14:textFill>
            <w14:solidFill>
              <w14:schemeClr w14:val="tx1"/>
            </w14:solidFill>
          </w14:textFill>
        </w:rPr>
      </w:pPr>
      <w:r>
        <w:rPr>
          <w:rFonts w:hint="eastAsia" w:ascii="宋体" w:hAnsi="宋体" w:eastAsia="宋体" w:cs="宋体"/>
          <w:b/>
          <w:bCs w:val="0"/>
          <w:color w:val="000000" w:themeColor="text1"/>
          <w:sz w:val="44"/>
          <w:szCs w:val="44"/>
          <w:lang w:eastAsia="zh-CN"/>
          <w14:textFill>
            <w14:solidFill>
              <w14:schemeClr w14:val="tx1"/>
            </w14:solidFill>
          </w14:textFill>
        </w:rPr>
        <w:t>馆区设施设备（系统）建设与改造项目</w:t>
      </w:r>
    </w:p>
    <w:p>
      <w:pPr>
        <w:keepNext w:val="0"/>
        <w:keepLines w:val="0"/>
        <w:pageBreakBefore w:val="0"/>
        <w:widowControl w:val="0"/>
        <w:kinsoku/>
        <w:wordWrap/>
        <w:overflowPunct/>
        <w:topLinePunct w:val="0"/>
        <w:autoSpaceDE/>
        <w:autoSpaceDN/>
        <w:bidi w:val="0"/>
        <w:adjustRightInd/>
        <w:snapToGrid w:val="0"/>
        <w:spacing w:line="578" w:lineRule="exact"/>
        <w:jc w:val="center"/>
        <w:textAlignment w:val="auto"/>
        <w:rPr>
          <w:rFonts w:ascii="宋体" w:hAnsi="宋体" w:eastAsia="宋体" w:cs="宋体"/>
          <w:b/>
          <w:bCs w:val="0"/>
          <w:sz w:val="44"/>
          <w:szCs w:val="44"/>
        </w:rPr>
      </w:pPr>
      <w:r>
        <w:rPr>
          <w:rFonts w:hint="eastAsia" w:ascii="宋体" w:hAnsi="宋体" w:eastAsia="宋体" w:cs="宋体"/>
          <w:b/>
          <w:bCs w:val="0"/>
          <w:sz w:val="44"/>
          <w:szCs w:val="44"/>
        </w:rPr>
        <w:t>绩效自评报告</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rPr>
          <w:rFonts w:hint="eastAsia" w:ascii="黑体" w:hAnsi="黑体" w:eastAsia="黑体" w:cs="黑体"/>
          <w:b w:val="0"/>
          <w:bCs/>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rPr>
          <w:rFonts w:ascii="黑体" w:hAnsi="黑体" w:eastAsia="黑体" w:cs="黑体"/>
          <w:b w:val="0"/>
          <w:bCs/>
          <w:color w:val="000000" w:themeColor="text1"/>
          <w:sz w:val="32"/>
          <w:szCs w:val="32"/>
          <w14:textFill>
            <w14:solidFill>
              <w14:schemeClr w14:val="tx1"/>
            </w14:solidFill>
          </w14:textFill>
        </w:rPr>
      </w:pPr>
      <w:r>
        <w:rPr>
          <w:rFonts w:hint="eastAsia" w:ascii="黑体" w:hAnsi="黑体" w:eastAsia="黑体" w:cs="黑体"/>
          <w:b w:val="0"/>
          <w:bCs/>
          <w:color w:val="000000" w:themeColor="text1"/>
          <w:sz w:val="32"/>
          <w:szCs w:val="32"/>
          <w14:textFill>
            <w14:solidFill>
              <w14:schemeClr w14:val="tx1"/>
            </w14:solidFill>
          </w14:textFill>
        </w:rPr>
        <w:t>一、绩效目标分解下达情况</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outlineLvl w:val="0"/>
        <w:rPr>
          <w:rFonts w:hint="eastAsia" w:ascii="仿宋" w:hAnsi="仿宋" w:eastAsia="仿宋" w:cs="仿宋"/>
          <w:b w:val="0"/>
          <w:bCs/>
          <w:color w:val="000000" w:themeColor="text1"/>
          <w:sz w:val="32"/>
          <w:szCs w:val="32"/>
          <w14:textFill>
            <w14:solidFill>
              <w14:schemeClr w14:val="tx1"/>
            </w14:solidFill>
          </w14:textFill>
        </w:rPr>
      </w:pPr>
      <w:r>
        <w:rPr>
          <w:rFonts w:hint="eastAsia" w:ascii="仿宋" w:hAnsi="仿宋" w:eastAsia="仿宋" w:cs="仿宋"/>
          <w:b w:val="0"/>
          <w:bCs/>
          <w:color w:val="000000" w:themeColor="text1"/>
          <w:sz w:val="32"/>
          <w:szCs w:val="32"/>
          <w:lang w:eastAsia="zh-CN"/>
          <w14:textFill>
            <w14:solidFill>
              <w14:schemeClr w14:val="tx1"/>
            </w14:solidFill>
          </w14:textFill>
        </w:rPr>
        <w:t>根据</w:t>
      </w:r>
      <w:r>
        <w:rPr>
          <w:rFonts w:hint="eastAsia" w:ascii="仿宋" w:hAnsi="仿宋" w:eastAsia="仿宋" w:cs="仿宋"/>
          <w:b w:val="0"/>
          <w:bCs/>
          <w:color w:val="000000" w:themeColor="text1"/>
          <w:sz w:val="32"/>
          <w:szCs w:val="32"/>
          <w:lang w:val="en-US" w:eastAsia="zh-CN"/>
          <w14:textFill>
            <w14:solidFill>
              <w14:schemeClr w14:val="tx1"/>
            </w14:solidFill>
          </w14:textFill>
        </w:rPr>
        <w:t>2022年预算大本</w:t>
      </w:r>
      <w:r>
        <w:rPr>
          <w:rFonts w:hint="eastAsia" w:ascii="仿宋" w:hAnsi="仿宋" w:eastAsia="仿宋" w:cs="仿宋"/>
          <w:b w:val="0"/>
          <w:bCs/>
          <w:color w:val="000000" w:themeColor="text1"/>
          <w:sz w:val="32"/>
          <w:szCs w:val="32"/>
          <w:lang w:eastAsia="zh-CN"/>
          <w14:textFill>
            <w14:solidFill>
              <w14:schemeClr w14:val="tx1"/>
            </w14:solidFill>
          </w14:textFill>
        </w:rPr>
        <w:t>（上级文号</w:t>
      </w:r>
      <w:r>
        <w:rPr>
          <w:rFonts w:hint="eastAsia" w:ascii="仿宋" w:hAnsi="仿宋" w:eastAsia="仿宋" w:cs="仿宋"/>
          <w:b w:val="0"/>
          <w:bCs/>
          <w:color w:val="000000" w:themeColor="text1"/>
          <w:sz w:val="32"/>
          <w:szCs w:val="32"/>
          <w14:textFill>
            <w14:solidFill>
              <w14:schemeClr w14:val="tx1"/>
            </w14:solidFill>
          </w14:textFill>
        </w:rPr>
        <w:t>财教［2021］0234号</w:t>
      </w:r>
      <w:r>
        <w:rPr>
          <w:rFonts w:hint="eastAsia" w:ascii="仿宋" w:hAnsi="仿宋" w:eastAsia="仿宋" w:cs="仿宋"/>
          <w:b w:val="0"/>
          <w:bCs/>
          <w:color w:val="000000" w:themeColor="text1"/>
          <w:sz w:val="32"/>
          <w:szCs w:val="32"/>
          <w:lang w:eastAsia="zh-CN"/>
          <w14:textFill>
            <w14:solidFill>
              <w14:schemeClr w14:val="tx1"/>
            </w14:solidFill>
          </w14:textFill>
        </w:rPr>
        <w:t>），</w:t>
      </w:r>
      <w:r>
        <w:rPr>
          <w:rFonts w:hint="eastAsia" w:ascii="仿宋" w:hAnsi="仿宋" w:eastAsia="仿宋" w:cs="仿宋"/>
          <w:b w:val="0"/>
          <w:bCs/>
          <w:color w:val="000000" w:themeColor="text1"/>
          <w:sz w:val="32"/>
          <w:szCs w:val="32"/>
          <w:lang w:val="en-US" w:eastAsia="zh-CN"/>
          <w14:textFill>
            <w14:solidFill>
              <w14:schemeClr w14:val="tx1"/>
            </w14:solidFill>
          </w14:textFill>
        </w:rPr>
        <w:t>2022年1月份</w:t>
      </w:r>
      <w:r>
        <w:rPr>
          <w:rFonts w:hint="eastAsia" w:ascii="仿宋" w:hAnsi="仿宋" w:eastAsia="仿宋" w:cs="仿宋"/>
          <w:b w:val="0"/>
          <w:bCs/>
          <w:color w:val="000000" w:themeColor="text1"/>
          <w:sz w:val="32"/>
          <w:szCs w:val="32"/>
          <w14:textFill>
            <w14:solidFill>
              <w14:schemeClr w14:val="tx1"/>
            </w14:solidFill>
          </w14:textFill>
        </w:rPr>
        <w:t>下达</w:t>
      </w:r>
      <w:r>
        <w:rPr>
          <w:rFonts w:hint="eastAsia" w:ascii="仿宋" w:hAnsi="仿宋" w:eastAsia="仿宋" w:cs="仿宋"/>
          <w:b w:val="0"/>
          <w:bCs/>
          <w:color w:val="000000" w:themeColor="text1"/>
          <w:sz w:val="32"/>
          <w:szCs w:val="32"/>
          <w:lang w:eastAsia="zh-CN"/>
          <w14:textFill>
            <w14:solidFill>
              <w14:schemeClr w14:val="tx1"/>
            </w14:solidFill>
          </w14:textFill>
        </w:rPr>
        <w:t>馆区设施设备（系统）建设与改造项目资金</w:t>
      </w:r>
      <w:r>
        <w:rPr>
          <w:rFonts w:hint="eastAsia" w:ascii="仿宋" w:hAnsi="仿宋" w:eastAsia="仿宋" w:cs="仿宋"/>
          <w:b w:val="0"/>
          <w:bCs/>
          <w:color w:val="000000" w:themeColor="text1"/>
          <w:sz w:val="32"/>
          <w:szCs w:val="32"/>
          <w:lang w:val="en-US" w:eastAsia="zh-CN"/>
          <w14:textFill>
            <w14:solidFill>
              <w14:schemeClr w14:val="tx1"/>
            </w14:solidFill>
          </w14:textFill>
        </w:rPr>
        <w:t>53.83万元</w:t>
      </w:r>
      <w:r>
        <w:rPr>
          <w:rFonts w:hint="eastAsia" w:ascii="仿宋" w:hAnsi="仿宋" w:eastAsia="仿宋" w:cs="仿宋"/>
          <w:b w:val="0"/>
          <w:bCs/>
          <w:color w:val="000000" w:themeColor="text1"/>
          <w:sz w:val="32"/>
          <w:szCs w:val="32"/>
          <w14:textFill>
            <w14:solidFill>
              <w14:schemeClr w14:val="tx1"/>
            </w14:solidFill>
          </w14:textFill>
        </w:rPr>
        <w:t>。</w:t>
      </w:r>
      <w:r>
        <w:rPr>
          <w:rFonts w:hint="eastAsia" w:ascii="仿宋" w:hAnsi="仿宋" w:eastAsia="仿宋" w:cs="仿宋"/>
          <w:b w:val="0"/>
          <w:bCs/>
          <w:color w:val="000000" w:themeColor="text1"/>
          <w:sz w:val="32"/>
          <w:szCs w:val="32"/>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rPr>
          <w:rFonts w:ascii="黑体" w:hAnsi="黑体" w:eastAsia="黑体" w:cs="黑体"/>
          <w:b w:val="0"/>
          <w:bCs/>
          <w:color w:val="000000" w:themeColor="text1"/>
          <w:sz w:val="32"/>
          <w:szCs w:val="32"/>
          <w:highlight w:val="none"/>
          <w14:textFill>
            <w14:solidFill>
              <w14:schemeClr w14:val="tx1"/>
            </w14:solidFill>
          </w14:textFill>
        </w:rPr>
      </w:pPr>
      <w:r>
        <w:rPr>
          <w:rFonts w:hint="eastAsia" w:ascii="黑体" w:hAnsi="黑体" w:eastAsia="黑体" w:cs="黑体"/>
          <w:b w:val="0"/>
          <w:bCs/>
          <w:color w:val="000000" w:themeColor="text1"/>
          <w:sz w:val="32"/>
          <w:szCs w:val="32"/>
          <w:highlight w:val="none"/>
          <w14:textFill>
            <w14:solidFill>
              <w14:schemeClr w14:val="tx1"/>
            </w14:solidFill>
          </w14:textFill>
        </w:rPr>
        <w:t>二、</w:t>
      </w:r>
      <w:r>
        <w:rPr>
          <w:rFonts w:hint="eastAsia" w:ascii="黑体" w:hAnsi="黑体" w:eastAsia="黑体" w:cs="黑体"/>
          <w:b w:val="0"/>
          <w:bCs/>
          <w:color w:val="000000" w:themeColor="text1"/>
          <w:sz w:val="32"/>
          <w:szCs w:val="32"/>
          <w:highlight w:val="none"/>
          <w:lang w:eastAsia="zh-CN"/>
          <w14:textFill>
            <w14:solidFill>
              <w14:schemeClr w14:val="tx1"/>
            </w14:solidFill>
          </w14:textFill>
        </w:rPr>
        <w:t>绩效</w:t>
      </w:r>
      <w:r>
        <w:rPr>
          <w:rFonts w:hint="eastAsia" w:ascii="黑体" w:hAnsi="黑体" w:eastAsia="黑体" w:cs="黑体"/>
          <w:b w:val="0"/>
          <w:bCs/>
          <w:color w:val="000000" w:themeColor="text1"/>
          <w:sz w:val="32"/>
          <w:szCs w:val="32"/>
          <w:highlight w:val="none"/>
          <w14:textFill>
            <w14:solidFill>
              <w14:schemeClr w14:val="tx1"/>
            </w14:solidFill>
          </w14:textFill>
        </w:rPr>
        <w:t>情况分析</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outlineLvl w:val="0"/>
        <w:rPr>
          <w:rFonts w:hint="eastAsia" w:ascii="仿宋" w:hAnsi="仿宋" w:eastAsia="仿宋" w:cs="仿宋"/>
          <w:b w:val="0"/>
          <w:bCs/>
          <w:color w:val="FFFFFF" w:themeColor="background1"/>
          <w:sz w:val="32"/>
          <w:szCs w:val="32"/>
          <w:highlight w:val="none"/>
          <w:lang w:eastAsia="zh-CN"/>
          <w14:textFill>
            <w14:solidFill>
              <w14:schemeClr w14:val="bg1"/>
            </w14:solidFill>
          </w14:textFill>
        </w:rPr>
      </w:pPr>
      <w:r>
        <w:rPr>
          <w:rFonts w:hint="eastAsia" w:ascii="楷体_GB2312" w:hAnsi="楷体_GB2312" w:eastAsia="楷体_GB2312" w:cs="楷体_GB2312"/>
          <w:b w:val="0"/>
          <w:bCs/>
          <w:color w:val="000000" w:themeColor="text1"/>
          <w:sz w:val="32"/>
          <w:szCs w:val="32"/>
          <w:highlight w:val="none"/>
          <w14:textFill>
            <w14:solidFill>
              <w14:schemeClr w14:val="tx1"/>
            </w14:solidFill>
          </w14:textFill>
        </w:rPr>
        <w:t>（一）资金投入情况分析。</w:t>
      </w:r>
      <w:r>
        <w:rPr>
          <w:rFonts w:hint="eastAsia" w:ascii="仿宋" w:hAnsi="仿宋" w:eastAsia="仿宋" w:cs="仿宋"/>
          <w:b w:val="0"/>
          <w:bCs/>
          <w:color w:val="FFFFFF" w:themeColor="background1"/>
          <w:sz w:val="32"/>
          <w:szCs w:val="32"/>
          <w:highlight w:val="none"/>
          <w:lang w:eastAsia="zh-CN"/>
          <w14:textFill>
            <w14:solidFill>
              <w14:schemeClr w14:val="bg1"/>
            </w14:solidFill>
          </w14:textFill>
        </w:rPr>
        <w:t>（分析资金投入及执行情况）</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outlineLvl w:val="0"/>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val="0"/>
          <w:bCs/>
          <w:color w:val="000000" w:themeColor="text1"/>
          <w:sz w:val="32"/>
          <w:szCs w:val="32"/>
          <w:highlight w:val="none"/>
          <w:lang w:eastAsia="zh-CN"/>
          <w14:textFill>
            <w14:solidFill>
              <w14:schemeClr w14:val="tx1"/>
            </w14:solidFill>
          </w14:textFill>
        </w:rPr>
        <w:t>本项目资金下达</w:t>
      </w: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53.83万元，截止2022年底，已完成投入39.92万元。</w:t>
      </w:r>
    </w:p>
    <w:p>
      <w:pPr>
        <w:keepNext w:val="0"/>
        <w:keepLines w:val="0"/>
        <w:pageBreakBefore w:val="0"/>
        <w:widowControl w:val="0"/>
        <w:numPr>
          <w:ilvl w:val="0"/>
          <w:numId w:val="1"/>
        </w:numPr>
        <w:kinsoku/>
        <w:wordWrap/>
        <w:overflowPunct/>
        <w:topLinePunct w:val="0"/>
        <w:autoSpaceDE/>
        <w:autoSpaceDN/>
        <w:bidi w:val="0"/>
        <w:adjustRightInd/>
        <w:snapToGrid w:val="0"/>
        <w:spacing w:line="578" w:lineRule="exact"/>
        <w:ind w:firstLine="640" w:firstLineChars="200"/>
        <w:textAlignment w:val="auto"/>
        <w:outlineLvl w:val="0"/>
        <w:rPr>
          <w:rFonts w:hint="eastAsia" w:ascii="仿宋" w:hAnsi="仿宋" w:eastAsia="仿宋" w:cs="仿宋"/>
          <w:b w:val="0"/>
          <w:bCs/>
          <w:color w:val="000000" w:themeColor="text1"/>
          <w:sz w:val="32"/>
          <w:szCs w:val="32"/>
          <w:highlight w:val="none"/>
          <w:lang w:eastAsia="zh-CN"/>
          <w14:textFill>
            <w14:solidFill>
              <w14:schemeClr w14:val="tx1"/>
            </w14:solidFill>
          </w14:textFill>
        </w:rPr>
      </w:pPr>
      <w:r>
        <w:rPr>
          <w:rFonts w:hint="eastAsia" w:ascii="楷体_GB2312" w:hAnsi="楷体_GB2312" w:eastAsia="楷体_GB2312" w:cs="楷体_GB2312"/>
          <w:b w:val="0"/>
          <w:bCs/>
          <w:color w:val="000000" w:themeColor="text1"/>
          <w:sz w:val="32"/>
          <w:szCs w:val="32"/>
          <w:highlight w:val="none"/>
          <w:lang w:eastAsia="zh-CN"/>
          <w14:textFill>
            <w14:solidFill>
              <w14:schemeClr w14:val="tx1"/>
            </w14:solidFill>
          </w14:textFill>
        </w:rPr>
        <w:t>资金管理情况分析。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1.分配科学性</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eastAsia" w:ascii="仿宋" w:hAnsi="仿宋" w:eastAsia="仿宋" w:cs="仿宋"/>
          <w:b w:val="0"/>
          <w:bCs/>
          <w:color w:val="000000" w:themeColor="text1"/>
          <w:sz w:val="32"/>
          <w:szCs w:val="32"/>
          <w:highlight w:val="none"/>
          <w:lang w:eastAsia="zh-CN"/>
          <w14:textFill>
            <w14:solidFill>
              <w14:schemeClr w14:val="tx1"/>
            </w14:solidFill>
          </w14:textFill>
        </w:rPr>
      </w:pPr>
      <w:r>
        <w:rPr>
          <w:rFonts w:hint="eastAsia" w:ascii="仿宋" w:hAnsi="仿宋" w:eastAsia="仿宋" w:cs="仿宋"/>
          <w:b w:val="0"/>
          <w:bCs/>
          <w:color w:val="000000" w:themeColor="text1"/>
          <w:sz w:val="32"/>
          <w:szCs w:val="32"/>
          <w:highlight w:val="none"/>
          <w:lang w:eastAsia="zh-CN"/>
          <w14:textFill>
            <w14:solidFill>
              <w14:schemeClr w14:val="tx1"/>
            </w14:solidFill>
          </w14:textFill>
        </w:rPr>
        <w:t>本项目预算分配科学合理，专款用于馆区内设施设备（系统）的建设与改造。</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2.下达及时性</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pPr>
      <w:r>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t>资金下达及时，于2022年1月下达预算资金</w:t>
      </w: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3.拨付合规性</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严格按照国库集中支付制度有关规定支付资金，未出现违规将资金从国库转入财政专户或支付到单位实有资金账户等问题。</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4.</w:t>
      </w:r>
      <w:r>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t>使用规范性</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pPr>
      <w:r>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t>严格按照下达预算的科目和项目执行，未出现截留、挤占、挪用或擅自调整等问题</w:t>
      </w: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5.</w:t>
      </w:r>
      <w:r>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t>执行准确性</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pPr>
      <w:r>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t>按照上级下达和本级预算安排的金额执行，不存在执行数偏离预算数较多的问题</w:t>
      </w: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6.</w:t>
      </w:r>
      <w:r>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t>预算绩效管理情况</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pPr>
      <w:r>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t>开展事前绩效评估，填报《事前绩效评估表》；执行绩效运行监控，填报《项目阶段评价表》；事后开展绩效评价工作，填报《绩效自评表》</w:t>
      </w: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，并形成绩效自评报告。</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7.</w:t>
      </w:r>
      <w:r>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t>支出责任履行情况</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pPr>
      <w:r>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t>按照单位项目管理制度，对项目执行部门与支出责任划分进行挂钩，确保项目资金支出责任对接到具体经办人</w:t>
      </w: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w:t>
      </w:r>
    </w:p>
    <w:p>
      <w:pPr>
        <w:keepNext w:val="0"/>
        <w:keepLines w:val="0"/>
        <w:pageBreakBefore w:val="0"/>
        <w:widowControl w:val="0"/>
        <w:numPr>
          <w:ilvl w:val="0"/>
          <w:numId w:val="1"/>
        </w:numPr>
        <w:kinsoku/>
        <w:wordWrap/>
        <w:overflowPunct/>
        <w:topLinePunct w:val="0"/>
        <w:autoSpaceDE/>
        <w:autoSpaceDN/>
        <w:bidi w:val="0"/>
        <w:adjustRightInd/>
        <w:snapToGrid w:val="0"/>
        <w:spacing w:line="578" w:lineRule="exact"/>
        <w:ind w:left="0" w:leftChars="0" w:firstLine="640" w:firstLineChars="200"/>
        <w:textAlignment w:val="auto"/>
        <w:outlineLvl w:val="0"/>
        <w:rPr>
          <w:rFonts w:hint="eastAsia" w:ascii="仿宋" w:hAnsi="仿宋" w:eastAsia="仿宋" w:cs="仿宋"/>
          <w:b w:val="0"/>
          <w:bCs/>
          <w:sz w:val="32"/>
          <w:szCs w:val="32"/>
          <w:lang w:eastAsia="zh-CN"/>
        </w:rPr>
      </w:pPr>
      <w:r>
        <w:rPr>
          <w:rFonts w:hint="eastAsia" w:ascii="楷体_GB2312" w:hAnsi="楷体_GB2312" w:eastAsia="楷体_GB2312" w:cs="楷体_GB2312"/>
          <w:b w:val="0"/>
          <w:bCs/>
          <w:sz w:val="32"/>
          <w:szCs w:val="32"/>
        </w:rPr>
        <w:t>总体绩效目标完成情况分析。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完成建设档案系统1个，维修及更换安防设备，购置消防设备，维修消防系统，制作馆界区域界桩安装及围墙工程。</w:t>
      </w:r>
    </w:p>
    <w:p>
      <w:pPr>
        <w:keepNext w:val="0"/>
        <w:keepLines w:val="0"/>
        <w:pageBreakBefore w:val="0"/>
        <w:widowControl w:val="0"/>
        <w:numPr>
          <w:ilvl w:val="0"/>
          <w:numId w:val="1"/>
        </w:numPr>
        <w:kinsoku/>
        <w:wordWrap/>
        <w:overflowPunct/>
        <w:topLinePunct w:val="0"/>
        <w:autoSpaceDE/>
        <w:autoSpaceDN/>
        <w:bidi w:val="0"/>
        <w:adjustRightInd/>
        <w:snapToGrid w:val="0"/>
        <w:spacing w:line="578" w:lineRule="exact"/>
        <w:ind w:left="0" w:leftChars="0" w:firstLine="640" w:firstLineChars="200"/>
        <w:textAlignment w:val="auto"/>
        <w:outlineLvl w:val="0"/>
        <w:rPr>
          <w:rFonts w:hint="eastAsia" w:ascii="仿宋" w:hAnsi="仿宋" w:eastAsia="仿宋" w:cs="仿宋"/>
          <w:b w:val="0"/>
          <w:bCs/>
          <w:sz w:val="32"/>
          <w:szCs w:val="32"/>
        </w:rPr>
      </w:pPr>
      <w:r>
        <w:rPr>
          <w:rFonts w:hint="eastAsia" w:ascii="楷体_GB2312" w:hAnsi="楷体_GB2312" w:eastAsia="楷体_GB2312" w:cs="楷体_GB2312"/>
          <w:b w:val="0"/>
          <w:bCs/>
          <w:sz w:val="32"/>
          <w:szCs w:val="32"/>
        </w:rPr>
        <w:t>绩效指标完成情况分析。</w:t>
      </w:r>
    </w:p>
    <w:tbl>
      <w:tblPr>
        <w:tblStyle w:val="4"/>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1292"/>
        <w:gridCol w:w="2135"/>
        <w:gridCol w:w="1580"/>
        <w:gridCol w:w="1050"/>
        <w:gridCol w:w="1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atLeast"/>
        </w:trPr>
        <w:tc>
          <w:tcPr>
            <w:tcW w:w="1180"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仿宋" w:hAnsi="仿宋" w:eastAsia="仿宋" w:cs="仿宋"/>
                <w:b w:val="0"/>
                <w:bCs/>
                <w:sz w:val="32"/>
                <w:szCs w:val="32"/>
                <w:vertAlign w:val="baseline"/>
                <w:lang w:eastAsia="zh-CN"/>
              </w:rPr>
            </w:pPr>
            <w:r>
              <w:rPr>
                <w:rFonts w:hint="eastAsia" w:ascii="仿宋" w:hAnsi="仿宋" w:eastAsia="仿宋" w:cs="仿宋"/>
                <w:b w:val="0"/>
                <w:bCs/>
                <w:sz w:val="21"/>
                <w:szCs w:val="21"/>
                <w:vertAlign w:val="baseline"/>
                <w:lang w:eastAsia="zh-CN"/>
              </w:rPr>
              <w:t>绩效指标</w:t>
            </w:r>
          </w:p>
        </w:tc>
        <w:tc>
          <w:tcPr>
            <w:tcW w:w="129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黑体" w:hAnsi="黑体" w:eastAsia="黑体" w:cs="黑体"/>
                <w:b w:val="0"/>
                <w:bCs/>
                <w:sz w:val="21"/>
                <w:szCs w:val="21"/>
                <w:vertAlign w:val="baseline"/>
                <w:lang w:eastAsia="zh-CN"/>
              </w:rPr>
            </w:pPr>
            <w:r>
              <w:rPr>
                <w:rFonts w:hint="eastAsia" w:ascii="黑体" w:hAnsi="黑体" w:eastAsia="黑体" w:cs="黑体"/>
                <w:b w:val="0"/>
                <w:bCs/>
                <w:sz w:val="21"/>
                <w:szCs w:val="21"/>
                <w:vertAlign w:val="baseline"/>
                <w:lang w:eastAsia="zh-CN"/>
              </w:rPr>
              <w:t>一级指标</w:t>
            </w:r>
          </w:p>
        </w:tc>
        <w:tc>
          <w:tcPr>
            <w:tcW w:w="213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黑体" w:hAnsi="黑体" w:eastAsia="黑体" w:cs="黑体"/>
                <w:b w:val="0"/>
                <w:bCs/>
                <w:sz w:val="21"/>
                <w:szCs w:val="21"/>
                <w:vertAlign w:val="baseline"/>
              </w:rPr>
            </w:pPr>
            <w:r>
              <w:rPr>
                <w:rFonts w:hint="eastAsia" w:ascii="黑体" w:hAnsi="黑体" w:eastAsia="黑体" w:cs="黑体"/>
                <w:b w:val="0"/>
                <w:bCs/>
                <w:sz w:val="21"/>
                <w:szCs w:val="21"/>
                <w:vertAlign w:val="baseline"/>
              </w:rPr>
              <w:t>二级指标</w:t>
            </w:r>
          </w:p>
        </w:tc>
        <w:tc>
          <w:tcPr>
            <w:tcW w:w="15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黑体" w:hAnsi="黑体" w:eastAsia="黑体" w:cs="黑体"/>
                <w:b w:val="0"/>
                <w:bCs/>
                <w:sz w:val="21"/>
                <w:szCs w:val="21"/>
                <w:vertAlign w:val="baseline"/>
              </w:rPr>
            </w:pPr>
            <w:r>
              <w:rPr>
                <w:rFonts w:hint="eastAsia" w:ascii="黑体" w:hAnsi="黑体" w:eastAsia="黑体" w:cs="黑体"/>
                <w:b w:val="0"/>
                <w:bCs/>
                <w:sz w:val="21"/>
                <w:szCs w:val="21"/>
                <w:vertAlign w:val="baseline"/>
              </w:rPr>
              <w:t>三级指标</w:t>
            </w:r>
          </w:p>
        </w:tc>
        <w:tc>
          <w:tcPr>
            <w:tcW w:w="105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黑体" w:hAnsi="黑体" w:eastAsia="黑体" w:cs="黑体"/>
                <w:b w:val="0"/>
                <w:bCs/>
                <w:sz w:val="21"/>
                <w:szCs w:val="21"/>
                <w:vertAlign w:val="baseline"/>
              </w:rPr>
            </w:pPr>
            <w:r>
              <w:rPr>
                <w:rFonts w:hint="eastAsia" w:ascii="黑体" w:hAnsi="黑体" w:eastAsia="黑体" w:cs="黑体"/>
                <w:b w:val="0"/>
                <w:bCs/>
                <w:sz w:val="21"/>
                <w:szCs w:val="21"/>
                <w:vertAlign w:val="baseline"/>
              </w:rPr>
              <w:t>指标值</w:t>
            </w:r>
          </w:p>
        </w:tc>
        <w:tc>
          <w:tcPr>
            <w:tcW w:w="18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黑体" w:hAnsi="黑体" w:eastAsia="黑体" w:cs="黑体"/>
                <w:b w:val="0"/>
                <w:bCs/>
                <w:sz w:val="32"/>
                <w:szCs w:val="32"/>
                <w:vertAlign w:val="baseline"/>
              </w:rPr>
            </w:pPr>
            <w:r>
              <w:rPr>
                <w:rFonts w:hint="eastAsia" w:ascii="黑体" w:hAnsi="黑体" w:eastAsia="黑体" w:cs="黑体"/>
                <w:b w:val="0"/>
                <w:bCs/>
                <w:sz w:val="21"/>
                <w:szCs w:val="21"/>
                <w:vertAlign w:val="baseline"/>
              </w:rPr>
              <w:t>全年实际完</w:t>
            </w:r>
            <w:r>
              <w:rPr>
                <w:rFonts w:hint="eastAsia" w:ascii="黑体" w:hAnsi="黑体" w:eastAsia="黑体" w:cs="黑体"/>
                <w:b w:val="0"/>
                <w:bCs/>
                <w:sz w:val="21"/>
                <w:szCs w:val="21"/>
                <w:vertAlign w:val="baseline"/>
                <w:lang w:eastAsia="zh-CN"/>
              </w:rPr>
              <w:t>成</w:t>
            </w:r>
            <w:r>
              <w:rPr>
                <w:rFonts w:hint="eastAsia" w:ascii="黑体" w:hAnsi="黑体" w:eastAsia="黑体" w:cs="黑体"/>
                <w:b w:val="0"/>
                <w:bCs/>
                <w:sz w:val="21"/>
                <w:szCs w:val="21"/>
                <w:vertAlign w:val="baseline"/>
              </w:rPr>
              <w:t>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仿宋" w:hAnsi="仿宋" w:eastAsia="仿宋" w:cs="仿宋"/>
                <w:b w:val="0"/>
                <w:bCs/>
                <w:sz w:val="32"/>
                <w:szCs w:val="32"/>
                <w:vertAlign w:val="baseline"/>
              </w:rPr>
            </w:pPr>
          </w:p>
        </w:tc>
        <w:tc>
          <w:tcPr>
            <w:tcW w:w="129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仿宋" w:hAnsi="仿宋" w:eastAsia="仿宋" w:cs="仿宋"/>
                <w:b w:val="0"/>
                <w:bCs/>
                <w:sz w:val="21"/>
                <w:szCs w:val="21"/>
                <w:vertAlign w:val="baseline"/>
              </w:rPr>
            </w:pPr>
            <w:r>
              <w:rPr>
                <w:rFonts w:hint="eastAsia" w:ascii="仿宋" w:hAnsi="仿宋" w:eastAsia="仿宋" w:cs="仿宋"/>
                <w:b w:val="0"/>
                <w:bCs/>
                <w:sz w:val="21"/>
                <w:szCs w:val="21"/>
                <w:vertAlign w:val="baseline"/>
              </w:rPr>
              <w:t>产出指标</w:t>
            </w:r>
          </w:p>
        </w:tc>
        <w:tc>
          <w:tcPr>
            <w:tcW w:w="213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仿宋" w:hAnsi="仿宋" w:eastAsia="仿宋" w:cs="仿宋"/>
                <w:b w:val="0"/>
                <w:bCs/>
                <w:sz w:val="21"/>
                <w:szCs w:val="21"/>
                <w:vertAlign w:val="baseline"/>
              </w:rPr>
            </w:pPr>
            <w:r>
              <w:rPr>
                <w:rFonts w:hint="eastAsia" w:ascii="仿宋" w:hAnsi="仿宋" w:eastAsia="仿宋" w:cs="仿宋"/>
                <w:b w:val="0"/>
                <w:bCs/>
                <w:sz w:val="21"/>
                <w:szCs w:val="21"/>
                <w:vertAlign w:val="baseline"/>
              </w:rPr>
              <w:t>数量指标</w:t>
            </w:r>
          </w:p>
        </w:tc>
        <w:tc>
          <w:tcPr>
            <w:tcW w:w="15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仿宋" w:hAnsi="仿宋" w:eastAsia="仿宋" w:cs="仿宋"/>
                <w:b w:val="0"/>
                <w:bCs/>
                <w:sz w:val="21"/>
                <w:szCs w:val="21"/>
                <w:vertAlign w:val="baseline"/>
              </w:rPr>
            </w:pPr>
            <w:r>
              <w:rPr>
                <w:rFonts w:hint="eastAsia" w:ascii="仿宋" w:hAnsi="仿宋" w:eastAsia="仿宋" w:cs="仿宋"/>
                <w:b w:val="0"/>
                <w:bCs/>
                <w:sz w:val="21"/>
                <w:szCs w:val="21"/>
                <w:vertAlign w:val="baseline"/>
              </w:rPr>
              <w:t>消防安全天数</w:t>
            </w:r>
          </w:p>
        </w:tc>
        <w:tc>
          <w:tcPr>
            <w:tcW w:w="105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仿宋" w:hAnsi="仿宋" w:eastAsia="仿宋" w:cs="仿宋"/>
                <w:b w:val="0"/>
                <w:bCs/>
                <w:sz w:val="21"/>
                <w:szCs w:val="21"/>
                <w:vertAlign w:val="baseline"/>
              </w:rPr>
            </w:pPr>
            <w:r>
              <w:rPr>
                <w:rFonts w:hint="eastAsia" w:ascii="仿宋" w:hAnsi="仿宋" w:eastAsia="仿宋" w:cs="仿宋"/>
                <w:b w:val="0"/>
                <w:bCs/>
                <w:sz w:val="21"/>
                <w:szCs w:val="21"/>
                <w:vertAlign w:val="baseline"/>
              </w:rPr>
              <w:t>365天</w:t>
            </w:r>
          </w:p>
        </w:tc>
        <w:tc>
          <w:tcPr>
            <w:tcW w:w="18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仿宋" w:hAnsi="仿宋" w:eastAsia="仿宋" w:cs="仿宋"/>
                <w:b w:val="0"/>
                <w:bCs/>
                <w:sz w:val="21"/>
                <w:szCs w:val="21"/>
                <w:vertAlign w:val="baseline"/>
              </w:rPr>
            </w:pPr>
            <w:r>
              <w:rPr>
                <w:rFonts w:hint="eastAsia" w:ascii="仿宋" w:hAnsi="仿宋" w:eastAsia="仿宋" w:cs="仿宋"/>
                <w:b w:val="0"/>
                <w:bCs/>
                <w:sz w:val="21"/>
                <w:szCs w:val="21"/>
                <w:vertAlign w:val="baseline"/>
              </w:rPr>
              <w:t>365天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仿宋" w:hAnsi="仿宋" w:eastAsia="仿宋" w:cs="仿宋"/>
                <w:b w:val="0"/>
                <w:bCs/>
                <w:sz w:val="32"/>
                <w:szCs w:val="32"/>
                <w:vertAlign w:val="baseline"/>
              </w:rPr>
            </w:pPr>
          </w:p>
        </w:tc>
        <w:tc>
          <w:tcPr>
            <w:tcW w:w="129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仿宋" w:hAnsi="仿宋" w:eastAsia="仿宋" w:cs="仿宋"/>
                <w:b w:val="0"/>
                <w:bCs/>
                <w:sz w:val="21"/>
                <w:szCs w:val="21"/>
                <w:vertAlign w:val="baseline"/>
              </w:rPr>
            </w:pPr>
            <w:r>
              <w:rPr>
                <w:rFonts w:hint="eastAsia" w:ascii="仿宋" w:hAnsi="仿宋" w:eastAsia="仿宋" w:cs="仿宋"/>
                <w:b w:val="0"/>
                <w:bCs/>
                <w:sz w:val="21"/>
                <w:szCs w:val="21"/>
                <w:vertAlign w:val="baseline"/>
              </w:rPr>
              <w:t>效益指标</w:t>
            </w:r>
          </w:p>
        </w:tc>
        <w:tc>
          <w:tcPr>
            <w:tcW w:w="213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仿宋" w:hAnsi="仿宋" w:eastAsia="仿宋" w:cs="仿宋"/>
                <w:b w:val="0"/>
                <w:bCs/>
                <w:sz w:val="21"/>
                <w:szCs w:val="21"/>
                <w:vertAlign w:val="baseline"/>
              </w:rPr>
            </w:pPr>
            <w:r>
              <w:rPr>
                <w:rFonts w:hint="eastAsia" w:ascii="仿宋" w:hAnsi="仿宋" w:eastAsia="仿宋" w:cs="仿宋"/>
                <w:b w:val="0"/>
                <w:bCs/>
                <w:sz w:val="21"/>
                <w:szCs w:val="21"/>
                <w:vertAlign w:val="baseline"/>
              </w:rPr>
              <w:t>社会效益指标</w:t>
            </w:r>
          </w:p>
        </w:tc>
        <w:tc>
          <w:tcPr>
            <w:tcW w:w="15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仿宋" w:hAnsi="仿宋" w:eastAsia="仿宋" w:cs="仿宋"/>
                <w:b w:val="0"/>
                <w:bCs/>
                <w:sz w:val="21"/>
                <w:szCs w:val="21"/>
                <w:vertAlign w:val="baseline"/>
              </w:rPr>
            </w:pPr>
            <w:r>
              <w:rPr>
                <w:rFonts w:hint="eastAsia" w:ascii="仿宋" w:hAnsi="仿宋" w:eastAsia="仿宋" w:cs="仿宋"/>
                <w:b w:val="0"/>
                <w:bCs/>
                <w:sz w:val="21"/>
                <w:szCs w:val="21"/>
                <w:vertAlign w:val="baseline"/>
              </w:rPr>
              <w:t>游客人数</w:t>
            </w:r>
          </w:p>
        </w:tc>
        <w:tc>
          <w:tcPr>
            <w:tcW w:w="105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仿宋" w:hAnsi="仿宋" w:eastAsia="仿宋" w:cs="仿宋"/>
                <w:b w:val="0"/>
                <w:bCs/>
                <w:sz w:val="21"/>
                <w:szCs w:val="21"/>
                <w:vertAlign w:val="baseline"/>
              </w:rPr>
            </w:pPr>
            <w:r>
              <w:rPr>
                <w:rFonts w:hint="eastAsia" w:ascii="仿宋" w:hAnsi="仿宋" w:eastAsia="仿宋" w:cs="仿宋"/>
                <w:b w:val="0"/>
                <w:bCs/>
                <w:sz w:val="21"/>
                <w:szCs w:val="21"/>
                <w:vertAlign w:val="baseline"/>
              </w:rPr>
              <w:t>5万人</w:t>
            </w:r>
          </w:p>
        </w:tc>
        <w:tc>
          <w:tcPr>
            <w:tcW w:w="18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default" w:ascii="仿宋" w:hAnsi="仿宋" w:eastAsia="仿宋" w:cs="仿宋"/>
                <w:b w:val="0"/>
                <w:bCs/>
                <w:sz w:val="21"/>
                <w:szCs w:val="21"/>
                <w:vertAlign w:val="baseline"/>
                <w:lang w:val="en-US" w:eastAsia="zh-CN"/>
              </w:rPr>
            </w:pPr>
            <w:r>
              <w:rPr>
                <w:rFonts w:hint="eastAsia" w:ascii="仿宋" w:hAnsi="仿宋" w:eastAsia="仿宋" w:cs="仿宋"/>
                <w:b w:val="0"/>
                <w:bCs/>
                <w:sz w:val="21"/>
                <w:szCs w:val="21"/>
                <w:vertAlign w:val="baseline"/>
                <w:lang w:val="en-US" w:eastAsia="zh-CN"/>
              </w:rPr>
              <w:t>6.3万人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仿宋" w:hAnsi="仿宋" w:eastAsia="仿宋" w:cs="仿宋"/>
                <w:b w:val="0"/>
                <w:bCs/>
                <w:sz w:val="32"/>
                <w:szCs w:val="32"/>
                <w:vertAlign w:val="baseline"/>
              </w:rPr>
            </w:pPr>
          </w:p>
        </w:tc>
        <w:tc>
          <w:tcPr>
            <w:tcW w:w="129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仿宋" w:hAnsi="仿宋" w:eastAsia="仿宋" w:cs="仿宋"/>
                <w:b w:val="0"/>
                <w:bCs/>
                <w:sz w:val="21"/>
                <w:szCs w:val="21"/>
                <w:vertAlign w:val="baseline"/>
              </w:rPr>
            </w:pPr>
            <w:r>
              <w:rPr>
                <w:rFonts w:hint="eastAsia" w:ascii="仿宋" w:hAnsi="仿宋" w:eastAsia="仿宋" w:cs="仿宋"/>
                <w:b w:val="0"/>
                <w:bCs/>
                <w:sz w:val="21"/>
                <w:szCs w:val="21"/>
                <w:vertAlign w:val="baseline"/>
              </w:rPr>
              <w:t>满意度指标</w:t>
            </w:r>
          </w:p>
        </w:tc>
        <w:tc>
          <w:tcPr>
            <w:tcW w:w="213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both"/>
              <w:textAlignment w:val="auto"/>
              <w:outlineLvl w:val="0"/>
              <w:rPr>
                <w:rFonts w:hint="eastAsia" w:ascii="仿宋" w:hAnsi="仿宋" w:eastAsia="仿宋" w:cs="仿宋"/>
                <w:b w:val="0"/>
                <w:bCs/>
                <w:sz w:val="21"/>
                <w:szCs w:val="21"/>
                <w:vertAlign w:val="baseline"/>
              </w:rPr>
            </w:pPr>
            <w:r>
              <w:rPr>
                <w:rFonts w:hint="eastAsia" w:ascii="仿宋" w:hAnsi="仿宋" w:eastAsia="仿宋" w:cs="仿宋"/>
                <w:b w:val="0"/>
                <w:bCs/>
                <w:sz w:val="21"/>
                <w:szCs w:val="21"/>
                <w:vertAlign w:val="baseline"/>
              </w:rPr>
              <w:t>服务对象满意度指标</w:t>
            </w:r>
          </w:p>
        </w:tc>
        <w:tc>
          <w:tcPr>
            <w:tcW w:w="15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仿宋" w:hAnsi="仿宋" w:eastAsia="仿宋" w:cs="仿宋"/>
                <w:b w:val="0"/>
                <w:bCs/>
                <w:sz w:val="21"/>
                <w:szCs w:val="21"/>
                <w:vertAlign w:val="baseline"/>
              </w:rPr>
            </w:pPr>
            <w:r>
              <w:rPr>
                <w:rFonts w:hint="eastAsia" w:ascii="仿宋" w:hAnsi="仿宋" w:eastAsia="仿宋" w:cs="仿宋"/>
                <w:b w:val="0"/>
                <w:bCs/>
                <w:sz w:val="21"/>
                <w:szCs w:val="21"/>
                <w:vertAlign w:val="baseline"/>
              </w:rPr>
              <w:t>游客满意度</w:t>
            </w:r>
          </w:p>
        </w:tc>
        <w:tc>
          <w:tcPr>
            <w:tcW w:w="105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仿宋" w:hAnsi="仿宋" w:eastAsia="仿宋" w:cs="仿宋"/>
                <w:b w:val="0"/>
                <w:bCs/>
                <w:sz w:val="21"/>
                <w:szCs w:val="21"/>
                <w:vertAlign w:val="baseline"/>
              </w:rPr>
            </w:pPr>
            <w:r>
              <w:rPr>
                <w:rFonts w:hint="eastAsia" w:ascii="仿宋" w:hAnsi="仿宋" w:eastAsia="仿宋" w:cs="仿宋"/>
                <w:b w:val="0"/>
                <w:bCs/>
                <w:sz w:val="21"/>
                <w:szCs w:val="21"/>
                <w:vertAlign w:val="baseline"/>
              </w:rPr>
              <w:t>80%</w:t>
            </w:r>
          </w:p>
        </w:tc>
        <w:tc>
          <w:tcPr>
            <w:tcW w:w="182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jc w:val="center"/>
              <w:textAlignment w:val="auto"/>
              <w:outlineLvl w:val="0"/>
              <w:rPr>
                <w:rFonts w:hint="eastAsia" w:ascii="仿宋" w:hAnsi="仿宋" w:eastAsia="仿宋" w:cs="仿宋"/>
                <w:b w:val="0"/>
                <w:bCs/>
                <w:sz w:val="21"/>
                <w:szCs w:val="21"/>
                <w:vertAlign w:val="baseline"/>
              </w:rPr>
            </w:pPr>
            <w:r>
              <w:rPr>
                <w:rFonts w:hint="eastAsia" w:ascii="仿宋" w:hAnsi="仿宋" w:eastAsia="仿宋" w:cs="仿宋"/>
                <w:b w:val="0"/>
                <w:bCs/>
                <w:sz w:val="21"/>
                <w:szCs w:val="21"/>
                <w:vertAlign w:val="baseline"/>
              </w:rPr>
              <w:t>80%</w:t>
            </w:r>
          </w:p>
        </w:tc>
      </w:tr>
    </w:tbl>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rPr>
          <w:rFonts w:ascii="仿宋_GB2312"/>
          <w:b w:val="0"/>
          <w:bCs/>
          <w:sz w:val="32"/>
          <w:szCs w:val="32"/>
        </w:rPr>
      </w:pPr>
      <w:r>
        <w:rPr>
          <w:rFonts w:hint="eastAsia" w:ascii="黑体" w:hAnsi="黑体" w:eastAsia="黑体" w:cs="黑体"/>
          <w:b w:val="0"/>
          <w:bCs/>
          <w:sz w:val="32"/>
          <w:szCs w:val="32"/>
        </w:rPr>
        <w:t>三、偏离绩效目标的原因和下一步改进措施</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实际完成的绩效目标与设定的绩效目标未发生偏离。执行率为</w:t>
      </w:r>
      <w:r>
        <w:rPr>
          <w:rFonts w:hint="eastAsia" w:ascii="仿宋" w:hAnsi="仿宋" w:eastAsia="仿宋" w:cs="仿宋"/>
          <w:b w:val="0"/>
          <w:bCs/>
          <w:sz w:val="32"/>
          <w:szCs w:val="32"/>
          <w:lang w:val="en-US" w:eastAsia="zh-CN"/>
        </w:rPr>
        <w:t>74.16%</w:t>
      </w:r>
      <w:r>
        <w:rPr>
          <w:rFonts w:hint="eastAsia" w:ascii="仿宋" w:hAnsi="仿宋" w:eastAsia="仿宋" w:cs="仿宋"/>
          <w:b w:val="0"/>
          <w:bCs/>
          <w:sz w:val="32"/>
          <w:szCs w:val="32"/>
          <w:lang w:eastAsia="zh-CN"/>
        </w:rPr>
        <w:t>，预算执行完成效果一般</w:t>
      </w:r>
      <w:r>
        <w:rPr>
          <w:rFonts w:hint="eastAsia" w:ascii="仿宋" w:hAnsi="仿宋" w:eastAsia="仿宋" w:cs="仿宋"/>
          <w:b w:val="0"/>
          <w:bCs/>
          <w:sz w:val="32"/>
          <w:szCs w:val="32"/>
          <w:lang w:val="en-US" w:eastAsia="zh-CN"/>
        </w:rPr>
        <w:t>。原因在于本年度在开展馆界区域界桩安装及围墙工程中，界桩与围墙安装周期耗时较长。我馆边界划线区域大部分位处五指山市雅蓄岭半山腰，馆舍背靠山林，一遇雨天，山林间土路湿滑，导致工程施工难度加大，施工人员无法在山林间进行安装作业，因此工程完成时限无法达到预期计划，以致于尾款未能在当年度支付完毕。下一步改进措施：对于此类工程项目，应较于普通项目做足前期谋划，提前完成前期准备工作，并充分考虑可能存在的不可抗力因素，预设好疑难问题，备好应对方案，在推进项目时如出现问题可尽快解决</w:t>
      </w:r>
      <w:r>
        <w:rPr>
          <w:rFonts w:hint="eastAsia" w:ascii="仿宋" w:hAnsi="仿宋" w:eastAsia="仿宋" w:cs="仿宋"/>
          <w:b w:val="0"/>
          <w:bCs/>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val="0"/>
        <w:spacing w:line="578"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绩效自评结果拟应用和公开情况</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绩效自评结果拟应用于下年度开展同类型项目时作为改进管理的重要依据，并加强评价结果的应用。对有效支出安排预算、低效支出压减预算、无效支出履行问责，提高单位预算绩效管理水平，切实履行预算绩效管理的主体责任。同时，上报自评结果至主管部门。</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rPr>
          <w:rFonts w:ascii="黑体" w:hAnsi="黑体" w:eastAsia="黑体" w:cs="黑体"/>
          <w:b w:val="0"/>
          <w:bCs/>
          <w:sz w:val="32"/>
          <w:szCs w:val="32"/>
        </w:rPr>
      </w:pPr>
      <w:r>
        <w:rPr>
          <w:rFonts w:hint="eastAsia" w:ascii="黑体" w:hAnsi="黑体" w:eastAsia="黑体" w:cs="黑体"/>
          <w:b w:val="0"/>
          <w:bCs/>
          <w:sz w:val="32"/>
          <w:szCs w:val="32"/>
        </w:rPr>
        <w:t>五、其他需要说明的问题</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rPr>
          <w:b w:val="0"/>
          <w:bCs/>
          <w:sz w:val="32"/>
          <w:szCs w:val="32"/>
        </w:rPr>
      </w:pPr>
      <w:r>
        <w:rPr>
          <w:rFonts w:hint="eastAsia" w:ascii="仿宋" w:hAnsi="仿宋" w:eastAsia="仿宋" w:cs="仿宋"/>
          <w:b w:val="0"/>
          <w:bCs/>
          <w:sz w:val="32"/>
          <w:szCs w:val="32"/>
          <w:lang w:eastAsia="zh-CN"/>
        </w:rPr>
        <w:t>无</w:t>
      </w:r>
      <w:r>
        <w:rPr>
          <w:rFonts w:hint="eastAsia" w:ascii="仿宋" w:hAnsi="仿宋" w:eastAsia="仿宋" w:cs="仿宋"/>
          <w:b w:val="0"/>
          <w:bCs/>
          <w:sz w:val="32"/>
          <w:szCs w:val="32"/>
        </w:rPr>
        <w:t>。</w:t>
      </w:r>
    </w:p>
    <w:p>
      <w:bookmarkStart w:id="0" w:name="_GoBack"/>
      <w:bookmarkEnd w:id="0"/>
    </w:p>
    <w:sectPr>
      <w:footerReference r:id="rId3" w:type="default"/>
      <w:pgSz w:w="11906" w:h="16838"/>
      <w:pgMar w:top="2098" w:right="1474" w:bottom="1984" w:left="1587" w:header="851" w:footer="1587" w:gutter="0"/>
      <w:pgNumType w:fmt="decimal"/>
      <w:cols w:space="0" w:num="1"/>
      <w:rtlGutter w:val="0"/>
      <w:docGrid w:type="lines" w:linePitch="41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53050E"/>
    <w:multiLevelType w:val="singleLevel"/>
    <w:tmpl w:val="D553050E"/>
    <w:lvl w:ilvl="0" w:tentative="0">
      <w:start w:val="4"/>
      <w:numFmt w:val="chineseCounting"/>
      <w:suff w:val="nothing"/>
      <w:lvlText w:val="%1、"/>
      <w:lvlJc w:val="left"/>
      <w:rPr>
        <w:rFonts w:hint="eastAsia"/>
      </w:rPr>
    </w:lvl>
  </w:abstractNum>
  <w:abstractNum w:abstractNumId="1">
    <w:nsid w:val="60C09604"/>
    <w:multiLevelType w:val="singleLevel"/>
    <w:tmpl w:val="60C09604"/>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3E5CA4"/>
    <w:rsid w:val="0410795B"/>
    <w:rsid w:val="14CC7361"/>
    <w:rsid w:val="206E5B2B"/>
    <w:rsid w:val="23DA7BB1"/>
    <w:rsid w:val="4B3E5CA4"/>
    <w:rsid w:val="52624AAC"/>
    <w:rsid w:val="61BD1E5E"/>
    <w:rsid w:val="626D00AB"/>
    <w:rsid w:val="6FF9420A"/>
    <w:rsid w:val="7C220FCF"/>
    <w:rsid w:val="7E5C68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五指山市（通什镇）</Company>
  <Pages>1</Pages>
  <Words>0</Words>
  <Characters>0</Characters>
  <Lines>0</Lines>
  <Paragraphs>0</Paragraphs>
  <TotalTime>14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2023-04-13T01:16:00Z</dcterms:created>
  <dc:creator>lele</dc:creator>
  <cp:lastModifiedBy>lele</cp:lastModifiedBy>
  <dcterms:modified xsi:type="dcterms:W3CDTF">2023-06-12T03:04:18Z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